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98C" w:rsidRPr="00711F2A" w:rsidRDefault="001A398C" w:rsidP="001A398C">
      <w:pPr>
        <w:widowControl w:val="0"/>
        <w:spacing w:after="0"/>
        <w:ind w:firstLine="567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  <w:r w:rsidRPr="00711F2A">
        <w:rPr>
          <w:rFonts w:ascii="Times New Roman" w:eastAsia="Times New Roman" w:hAnsi="Times New Roman"/>
          <w:sz w:val="24"/>
          <w:szCs w:val="24"/>
          <w:lang w:val="uk-UA"/>
        </w:rPr>
        <w:t>Додаток 1</w:t>
      </w:r>
    </w:p>
    <w:p w:rsidR="001A398C" w:rsidRPr="00711F2A" w:rsidRDefault="001A398C" w:rsidP="001A398C">
      <w:pPr>
        <w:widowControl w:val="0"/>
        <w:spacing w:after="0"/>
        <w:ind w:firstLine="567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  <w:r w:rsidRPr="00711F2A">
        <w:rPr>
          <w:rFonts w:ascii="Times New Roman" w:eastAsia="Times New Roman" w:hAnsi="Times New Roman"/>
          <w:sz w:val="24"/>
          <w:szCs w:val="24"/>
          <w:lang w:val="uk-UA"/>
        </w:rPr>
        <w:t xml:space="preserve">до реєстраційного посвідчення </w:t>
      </w:r>
    </w:p>
    <w:p w:rsidR="001A398C" w:rsidRPr="001042D8" w:rsidRDefault="001A398C" w:rsidP="001A398C">
      <w:pPr>
        <w:widowControl w:val="0"/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1A398C" w:rsidRPr="00711F2A" w:rsidRDefault="001A398C" w:rsidP="001A398C">
      <w:pPr>
        <w:widowControl w:val="0"/>
        <w:spacing w:after="0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 w:rsidRPr="00711F2A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Коротка характеристика препарату</w:t>
      </w:r>
    </w:p>
    <w:p w:rsidR="001A398C" w:rsidRPr="001042D8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1A398C" w:rsidRPr="001042D8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042D8">
        <w:rPr>
          <w:rFonts w:ascii="Times New Roman" w:hAnsi="Times New Roman"/>
          <w:b/>
          <w:sz w:val="24"/>
          <w:szCs w:val="24"/>
          <w:lang w:val="uk-UA" w:eastAsia="ru-RU"/>
        </w:rPr>
        <w:t>1. Назва</w:t>
      </w:r>
    </w:p>
    <w:p w:rsidR="001A398C" w:rsidRPr="001042D8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hAnsi="Times New Roman"/>
          <w:sz w:val="24"/>
          <w:szCs w:val="24"/>
          <w:lang w:val="uk-UA" w:eastAsia="ru-RU"/>
        </w:rPr>
        <w:t>Дикловет</w:t>
      </w:r>
      <w:proofErr w:type="spellEnd"/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1042D8">
        <w:rPr>
          <w:rFonts w:ascii="Times New Roman" w:hAnsi="Times New Roman"/>
          <w:sz w:val="24"/>
          <w:szCs w:val="24"/>
          <w:lang w:val="uk-UA" w:eastAsia="ru-RU"/>
        </w:rPr>
        <w:t>(стерильний очний розчин для місцевого застосування)</w:t>
      </w:r>
    </w:p>
    <w:p w:rsidR="001A398C" w:rsidRPr="001042D8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042D8">
        <w:rPr>
          <w:rFonts w:ascii="Times New Roman" w:hAnsi="Times New Roman"/>
          <w:b/>
          <w:sz w:val="24"/>
          <w:szCs w:val="24"/>
          <w:lang w:val="uk-UA" w:eastAsia="ru-RU"/>
        </w:rPr>
        <w:t>2. Склад</w:t>
      </w:r>
    </w:p>
    <w:p w:rsidR="001A398C" w:rsidRPr="00311CBC" w:rsidRDefault="001A398C" w:rsidP="001A39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311CBC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1 мл препарату містить діючу речовину:</w:t>
      </w:r>
    </w:p>
    <w:p w:rsidR="001A398C" w:rsidRPr="00311CBC" w:rsidRDefault="001A398C" w:rsidP="001A39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proofErr w:type="spellStart"/>
      <w:r w:rsidRPr="00311CBC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диклофенак</w:t>
      </w:r>
      <w:proofErr w:type="spellEnd"/>
      <w:r w:rsidRPr="00311CBC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натрію — 1 мг.</w:t>
      </w:r>
    </w:p>
    <w:p w:rsidR="001A398C" w:rsidRPr="00CC3AF8" w:rsidRDefault="001A398C" w:rsidP="001A39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311CBC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Допоміжні речовини: кислота </w:t>
      </w:r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борна, </w:t>
      </w:r>
      <w:proofErr w:type="spellStart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динатрію</w:t>
      </w:r>
      <w:proofErr w:type="spellEnd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едетат</w:t>
      </w:r>
      <w:proofErr w:type="spellEnd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0,1%, поліоксил-35</w:t>
      </w:r>
      <w:r w:rsidR="000867E9"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олія рицинова</w:t>
      </w:r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, кислота </w:t>
      </w:r>
      <w:proofErr w:type="spellStart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сорбінова</w:t>
      </w:r>
      <w:proofErr w:type="spellEnd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0,2%, </w:t>
      </w:r>
      <w:proofErr w:type="spellStart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трометамін</w:t>
      </w:r>
      <w:proofErr w:type="spellEnd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, вода для ін’єкцій.</w:t>
      </w:r>
    </w:p>
    <w:p w:rsidR="001A398C" w:rsidRPr="00CC3AF8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CC3AF8">
        <w:rPr>
          <w:rFonts w:ascii="Times New Roman" w:hAnsi="Times New Roman"/>
          <w:b/>
          <w:sz w:val="24"/>
          <w:szCs w:val="24"/>
          <w:lang w:val="uk-UA" w:eastAsia="ru-RU"/>
        </w:rPr>
        <w:t>3. Фармацевтична форма</w:t>
      </w:r>
    </w:p>
    <w:p w:rsidR="000867E9" w:rsidRPr="00CC3AF8" w:rsidRDefault="000867E9" w:rsidP="001A398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CC3AF8">
        <w:rPr>
          <w:rFonts w:ascii="Times New Roman" w:hAnsi="Times New Roman"/>
          <w:sz w:val="24"/>
          <w:szCs w:val="24"/>
          <w:lang w:val="uk-UA" w:eastAsia="ru-RU"/>
        </w:rPr>
        <w:t>Краплі очні, розчин.</w:t>
      </w:r>
    </w:p>
    <w:p w:rsidR="001A398C" w:rsidRPr="00CC3AF8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CC3AF8">
        <w:rPr>
          <w:rFonts w:ascii="Times New Roman" w:hAnsi="Times New Roman"/>
          <w:b/>
          <w:sz w:val="24"/>
          <w:szCs w:val="24"/>
          <w:lang w:val="uk-UA" w:eastAsia="ru-RU"/>
        </w:rPr>
        <w:t>4. Фармакологічні властивості</w:t>
      </w:r>
    </w:p>
    <w:p w:rsidR="001A398C" w:rsidRPr="00CC3AF8" w:rsidRDefault="001A398C" w:rsidP="001A39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val="uk-UA" w:eastAsia="ru-RU"/>
        </w:rPr>
      </w:pPr>
      <w:proofErr w:type="spellStart"/>
      <w:r w:rsidRPr="00CC3AF8">
        <w:rPr>
          <w:rFonts w:ascii="Times New Roman" w:eastAsia="Times New Roman" w:hAnsi="Times New Roman"/>
          <w:b/>
          <w:i/>
          <w:color w:val="000000"/>
          <w:sz w:val="24"/>
          <w:szCs w:val="24"/>
          <w:lang w:val="uk-UA" w:eastAsia="ru-RU"/>
        </w:rPr>
        <w:t>АТСvet</w:t>
      </w:r>
      <w:proofErr w:type="spellEnd"/>
      <w:r w:rsidRPr="00CC3AF8">
        <w:rPr>
          <w:rFonts w:ascii="Times New Roman" w:eastAsia="Times New Roman" w:hAnsi="Times New Roman"/>
          <w:b/>
          <w:i/>
          <w:color w:val="000000"/>
          <w:sz w:val="24"/>
          <w:szCs w:val="24"/>
          <w:lang w:val="uk-UA" w:eastAsia="ru-RU"/>
        </w:rPr>
        <w:t xml:space="preserve"> класифікаційний код: QS01 — офтальмологічні засоби, QS01B — протизапальні засоби, QS01BC — протизапальні засоби, нестероїдні, QS01BC03 — </w:t>
      </w:r>
      <w:proofErr w:type="spellStart"/>
      <w:r w:rsidRPr="00CC3AF8">
        <w:rPr>
          <w:rFonts w:ascii="Times New Roman" w:eastAsia="Times New Roman" w:hAnsi="Times New Roman"/>
          <w:b/>
          <w:i/>
          <w:color w:val="000000"/>
          <w:sz w:val="24"/>
          <w:szCs w:val="24"/>
          <w:lang w:val="uk-UA" w:eastAsia="ru-RU"/>
        </w:rPr>
        <w:t>диклофенак</w:t>
      </w:r>
      <w:proofErr w:type="spellEnd"/>
      <w:r w:rsidR="00B07461" w:rsidRPr="00CC3AF8">
        <w:rPr>
          <w:rFonts w:ascii="Times New Roman" w:eastAsia="Times New Roman" w:hAnsi="Times New Roman"/>
          <w:b/>
          <w:i/>
          <w:color w:val="000000"/>
          <w:sz w:val="24"/>
          <w:szCs w:val="24"/>
          <w:lang w:val="uk-UA" w:eastAsia="ru-RU"/>
        </w:rPr>
        <w:t>.</w:t>
      </w:r>
    </w:p>
    <w:p w:rsidR="001A398C" w:rsidRPr="00CC3AF8" w:rsidRDefault="001A398C" w:rsidP="001A39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proofErr w:type="spellStart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Диклофенак</w:t>
      </w:r>
      <w:proofErr w:type="spellEnd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натрію — нестероїдний протизапальний засіб. Механізм дії базується на конкурентному </w:t>
      </w:r>
      <w:proofErr w:type="spellStart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інгібуванні</w:t>
      </w:r>
      <w:proofErr w:type="spellEnd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ферментів циклооксигенази-1 і циклооксигенази-2 (ЦOГ-1 і ЦOГ-2), що блокує перетворення арахідонової кислоти на прекурсори </w:t>
      </w:r>
      <w:proofErr w:type="spellStart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простагландинів</w:t>
      </w:r>
      <w:proofErr w:type="spellEnd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(PGE</w:t>
      </w:r>
      <w:r w:rsidRPr="00CC3AF8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uk-UA" w:eastAsia="ru-RU"/>
        </w:rPr>
        <w:t>2</w:t>
      </w:r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, PGI</w:t>
      </w:r>
      <w:r w:rsidRPr="00CC3AF8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uk-UA" w:eastAsia="ru-RU"/>
        </w:rPr>
        <w:t>2</w:t>
      </w:r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) та </w:t>
      </w:r>
      <w:proofErr w:type="spellStart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тромбоксани</w:t>
      </w:r>
      <w:proofErr w:type="spellEnd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(TXA</w:t>
      </w:r>
      <w:r w:rsidRPr="00CC3AF8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uk-UA" w:eastAsia="ru-RU"/>
        </w:rPr>
        <w:t>2</w:t>
      </w:r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) — ключові медіатори запалення, больової чутливості й набряку тканин. У результаті зменшуються </w:t>
      </w:r>
      <w:proofErr w:type="spellStart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васкулярна</w:t>
      </w:r>
      <w:proofErr w:type="spellEnd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проникність, міграція лейкоцитів до вогнища запалення та формування больових імпульсів.</w:t>
      </w:r>
    </w:p>
    <w:p w:rsidR="001A398C" w:rsidRPr="00CC3AF8" w:rsidRDefault="001A398C" w:rsidP="001A39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Після закапування в око </w:t>
      </w:r>
      <w:proofErr w:type="spellStart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диклофенаку</w:t>
      </w:r>
      <w:proofErr w:type="spellEnd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натрію 0,1% (1 мг/мл) рівень </w:t>
      </w:r>
      <w:proofErr w:type="spellStart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простагландинів</w:t>
      </w:r>
      <w:proofErr w:type="spellEnd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у </w:t>
      </w:r>
      <w:proofErr w:type="spellStart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кон’юнктивальній</w:t>
      </w:r>
      <w:proofErr w:type="spellEnd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рідині й передній камері ока швидко знижується. Терапевтична концентрація в кон’юнктиві та рогівці досягається через 30 хвилин, а максимальне пригнічення синтезу PGE</w:t>
      </w:r>
      <w:r w:rsidRPr="00CC3AF8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uk-UA" w:eastAsia="ru-RU"/>
        </w:rPr>
        <w:t>2</w:t>
      </w:r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</w:t>
      </w:r>
      <w:r w:rsidR="00B07461"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</w:t>
      </w:r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передній камері ока реєструється через 2–3 годин</w:t>
      </w:r>
      <w:r w:rsidR="00472B26"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и</w:t>
      </w:r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. Протизапальний ефект зберігається щонайменше 4 години і обумовлює кратність застосування — 2–4 рази на добу. Пікові концентрації </w:t>
      </w:r>
      <w:r w:rsidR="00B07461"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</w:t>
      </w:r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передній камері сягають 80–130 </w:t>
      </w:r>
      <w:proofErr w:type="spellStart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нг</w:t>
      </w:r>
      <w:proofErr w:type="spellEnd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/мл, що достатньо для стійкого пригнічення ЦOГ-2 (IC</w:t>
      </w:r>
      <w:r w:rsidRPr="00CC3AF8">
        <w:rPr>
          <w:rFonts w:ascii="Times New Roman" w:eastAsia="Times New Roman" w:hAnsi="Times New Roman"/>
          <w:color w:val="000000"/>
          <w:sz w:val="24"/>
          <w:szCs w:val="24"/>
          <w:vertAlign w:val="subscript"/>
          <w:lang w:val="uk-UA" w:eastAsia="ru-RU"/>
        </w:rPr>
        <w:t>50</w:t>
      </w:r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≈ 150 </w:t>
      </w:r>
      <w:proofErr w:type="spellStart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нг</w:t>
      </w:r>
      <w:proofErr w:type="spellEnd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/мл).</w:t>
      </w:r>
    </w:p>
    <w:p w:rsidR="001A398C" w:rsidRPr="00CC3AF8" w:rsidRDefault="001A398C" w:rsidP="001A39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При закапуванні </w:t>
      </w:r>
      <w:proofErr w:type="spellStart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диклофенаку</w:t>
      </w:r>
      <w:proofErr w:type="spellEnd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натрію в очі його системна абсорбція мінімальна: </w:t>
      </w:r>
      <w:r w:rsidR="00B07461"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</w:t>
      </w:r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здорових тварин клінічно значущі концентрації в плазмі не виявляються протягом перших 4–6 годин. </w:t>
      </w:r>
      <w:proofErr w:type="spellStart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Диклофенак</w:t>
      </w:r>
      <w:proofErr w:type="spellEnd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натрію накопичується в рогівці та кон’юнктиві протягом 30 хвилин після закапування. Максимальна концентрація </w:t>
      </w:r>
      <w:r w:rsidR="00B07461"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</w:t>
      </w:r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передній камері ока досягається через 2–3 години, після чого рівень поступово знижується, зберігаючись у межах &lt;20 </w:t>
      </w:r>
      <w:proofErr w:type="spellStart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нг</w:t>
      </w:r>
      <w:proofErr w:type="spellEnd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/мл до 6–8 години. У </w:t>
      </w:r>
      <w:proofErr w:type="spellStart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хоріоретинальній</w:t>
      </w:r>
      <w:proofErr w:type="spellEnd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тканині максимальна концентрація (Cₘₐₓ ≈ 38 </w:t>
      </w:r>
      <w:proofErr w:type="spellStart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нг</w:t>
      </w:r>
      <w:proofErr w:type="spellEnd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/г) досягається через 1 годину після одноразового застосування, період </w:t>
      </w:r>
      <w:proofErr w:type="spellStart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напіввиведення</w:t>
      </w:r>
      <w:proofErr w:type="spellEnd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(T</w:t>
      </w:r>
      <w:r w:rsidRPr="00CC3AF8"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>₁/₂</w:t>
      </w:r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) становить приблизно 1,9 години.</w:t>
      </w:r>
    </w:p>
    <w:p w:rsidR="001A398C" w:rsidRPr="00CC3AF8" w:rsidRDefault="001A398C" w:rsidP="001A39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При потраплянні невеликої кількості препарату в системний </w:t>
      </w:r>
      <w:proofErr w:type="spellStart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кровотік</w:t>
      </w:r>
      <w:proofErr w:type="spellEnd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диклофенак</w:t>
      </w:r>
      <w:proofErr w:type="spellEnd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швидко зв’язується з альбумінами плазми крові (&gt;99%) і піддається інтенсивному метаболізму </w:t>
      </w:r>
      <w:r w:rsidR="00B07461"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</w:t>
      </w:r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печінці (</w:t>
      </w:r>
      <w:proofErr w:type="spellStart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глюкуронід</w:t>
      </w:r>
      <w:proofErr w:type="spellEnd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та сульфат </w:t>
      </w:r>
      <w:proofErr w:type="spellStart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кон’югати</w:t>
      </w:r>
      <w:proofErr w:type="spellEnd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). </w:t>
      </w:r>
    </w:p>
    <w:p w:rsidR="001A398C" w:rsidRPr="00311CBC" w:rsidRDefault="001A398C" w:rsidP="001A39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Період </w:t>
      </w:r>
      <w:proofErr w:type="spellStart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напіввиведення</w:t>
      </w:r>
      <w:proofErr w:type="spellEnd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диклофенаку</w:t>
      </w:r>
      <w:proofErr w:type="spellEnd"/>
      <w:r w:rsidRPr="00311CBC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з плазми крові при внутрішньовенному введенні становить 1–2 години. У разі офтальмологічного застосування практично весь препарат елімінується з поверхні ока протягом 6–8 годин через низьку системну абсорбцію. Метаболіти виводяться переважно нирками (&lt;60%), частково — з жовчю.</w:t>
      </w:r>
    </w:p>
    <w:p w:rsidR="001A398C" w:rsidRPr="001042D8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042D8">
        <w:rPr>
          <w:rFonts w:ascii="Times New Roman" w:hAnsi="Times New Roman"/>
          <w:b/>
          <w:sz w:val="24"/>
          <w:szCs w:val="24"/>
          <w:lang w:val="uk-UA" w:eastAsia="ru-RU"/>
        </w:rPr>
        <w:t>5. Клінічні особливості</w:t>
      </w:r>
    </w:p>
    <w:p w:rsidR="001A398C" w:rsidRPr="001042D8" w:rsidRDefault="001A398C" w:rsidP="001A398C">
      <w:pPr>
        <w:tabs>
          <w:tab w:val="left" w:pos="4649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042D8">
        <w:rPr>
          <w:rFonts w:ascii="Times New Roman" w:hAnsi="Times New Roman"/>
          <w:b/>
          <w:sz w:val="24"/>
          <w:szCs w:val="24"/>
          <w:lang w:val="uk-UA" w:eastAsia="ru-RU"/>
        </w:rPr>
        <w:t>5.1 Вид тварин</w:t>
      </w:r>
    </w:p>
    <w:p w:rsidR="001A398C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1042D8">
        <w:rPr>
          <w:rFonts w:ascii="Times New Roman" w:hAnsi="Times New Roman"/>
          <w:sz w:val="24"/>
          <w:szCs w:val="24"/>
          <w:lang w:val="uk-UA" w:eastAsia="ru-RU"/>
        </w:rPr>
        <w:t>Собаки, коти.</w:t>
      </w:r>
    </w:p>
    <w:p w:rsidR="00A60CB6" w:rsidRDefault="00A60CB6" w:rsidP="001A398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en-US" w:eastAsia="ru-RU"/>
        </w:rPr>
      </w:pPr>
    </w:p>
    <w:p w:rsidR="00A60CB6" w:rsidRDefault="00A60CB6" w:rsidP="001A398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en-US" w:eastAsia="ru-RU"/>
        </w:rPr>
      </w:pPr>
    </w:p>
    <w:p w:rsidR="00A60CB6" w:rsidRDefault="00A60CB6" w:rsidP="001A398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en-US" w:eastAsia="ru-RU"/>
        </w:rPr>
      </w:pPr>
    </w:p>
    <w:p w:rsidR="00A60CB6" w:rsidRPr="00A60CB6" w:rsidRDefault="00A60CB6" w:rsidP="001A398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en-US" w:eastAsia="ru-RU"/>
        </w:rPr>
      </w:pPr>
    </w:p>
    <w:p w:rsidR="00A60CB6" w:rsidRPr="00711F2A" w:rsidRDefault="00A60CB6" w:rsidP="00A60C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  <w:lang w:val="uk-UA"/>
        </w:rPr>
      </w:pPr>
      <w:r w:rsidRPr="00711F2A">
        <w:rPr>
          <w:rFonts w:ascii="Times New Roman" w:hAnsi="Times New Roman"/>
          <w:bCs/>
          <w:sz w:val="24"/>
          <w:szCs w:val="24"/>
          <w:lang w:val="uk-UA"/>
        </w:rPr>
        <w:lastRenderedPageBreak/>
        <w:t>Продовження додатку 1</w:t>
      </w:r>
    </w:p>
    <w:p w:rsidR="00A60CB6" w:rsidRPr="00711F2A" w:rsidRDefault="00A60CB6" w:rsidP="00A60C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  <w:lang w:val="uk-UA"/>
        </w:rPr>
      </w:pPr>
      <w:r w:rsidRPr="00711F2A">
        <w:rPr>
          <w:rFonts w:ascii="Times New Roman" w:hAnsi="Times New Roman"/>
          <w:bCs/>
          <w:sz w:val="24"/>
          <w:szCs w:val="24"/>
          <w:lang w:val="uk-UA"/>
        </w:rPr>
        <w:t xml:space="preserve">до реєстраційного посвідчення </w:t>
      </w:r>
    </w:p>
    <w:p w:rsidR="00A60CB6" w:rsidRDefault="00A60CB6" w:rsidP="00A60CB6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A60CB6" w:rsidRDefault="00A60CB6" w:rsidP="00A60CB6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A60CB6" w:rsidRDefault="00A60CB6" w:rsidP="00A60C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042D8">
        <w:rPr>
          <w:rFonts w:ascii="Times New Roman" w:hAnsi="Times New Roman"/>
          <w:b/>
          <w:sz w:val="24"/>
          <w:szCs w:val="24"/>
          <w:lang w:val="uk-UA" w:eastAsia="ru-RU"/>
        </w:rPr>
        <w:t>5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.2 </w:t>
      </w:r>
      <w:r w:rsidRPr="001042D8">
        <w:rPr>
          <w:rFonts w:ascii="Times New Roman" w:hAnsi="Times New Roman"/>
          <w:b/>
          <w:sz w:val="24"/>
          <w:szCs w:val="24"/>
          <w:lang w:val="uk-UA" w:eastAsia="ru-RU"/>
        </w:rPr>
        <w:t xml:space="preserve">Показання </w:t>
      </w:r>
      <w:r w:rsidRPr="000353F3">
        <w:rPr>
          <w:rFonts w:ascii="Times New Roman" w:hAnsi="Times New Roman"/>
          <w:b/>
          <w:sz w:val="24"/>
          <w:szCs w:val="24"/>
          <w:lang w:val="uk-UA"/>
        </w:rPr>
        <w:t>до</w:t>
      </w:r>
      <w:r w:rsidRPr="00D547D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0353F3">
        <w:rPr>
          <w:rFonts w:ascii="Times New Roman" w:hAnsi="Times New Roman"/>
          <w:b/>
          <w:sz w:val="24"/>
          <w:szCs w:val="24"/>
          <w:lang w:val="uk-UA"/>
        </w:rPr>
        <w:t>застосування</w:t>
      </w:r>
    </w:p>
    <w:p w:rsidR="00A60CB6" w:rsidRPr="00A60CB6" w:rsidRDefault="00A60CB6" w:rsidP="00A60C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_Hlk214721327"/>
      <w:r w:rsidRPr="00D97DAD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Препарат застосовують для лікування собак і котів після хірургічних </w:t>
      </w:r>
      <w:proofErr w:type="spellStart"/>
      <w:r w:rsidRPr="00D97DAD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втручань</w:t>
      </w:r>
      <w:proofErr w:type="spellEnd"/>
      <w:r w:rsidRPr="00D97DAD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з екстракції катаракти, імплантації </w:t>
      </w:r>
      <w:proofErr w:type="spellStart"/>
      <w:r w:rsidRPr="00D97DAD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інтраокулярної</w:t>
      </w:r>
      <w:proofErr w:type="spellEnd"/>
      <w:r w:rsidRPr="00D97DAD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лінзи, інших хірургічних </w:t>
      </w:r>
      <w:proofErr w:type="spellStart"/>
      <w:r w:rsidRPr="00D97DAD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втручань</w:t>
      </w:r>
      <w:proofErr w:type="spellEnd"/>
      <w:r w:rsidRPr="00D97DAD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на передньому сегменті ока (райдужці, рогівці, передній камері), що супроводжуються запальною реакцією, для профілактики та зменшення післяопераційного іриту при оперативному лікуванні катаракти, а також для профілактики </w:t>
      </w:r>
      <w:proofErr w:type="spellStart"/>
      <w:r w:rsidRPr="00D97DAD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інтраопераційного</w:t>
      </w:r>
      <w:proofErr w:type="spellEnd"/>
      <w:r w:rsidRPr="00D97DAD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та післяопераційного міозу. При неінфекційних запальних захворюваннях ока, що супроводжуються болем.</w:t>
      </w:r>
      <w:bookmarkEnd w:id="0"/>
    </w:p>
    <w:p w:rsidR="001A398C" w:rsidRPr="001042D8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042D8">
        <w:rPr>
          <w:rFonts w:ascii="Times New Roman" w:hAnsi="Times New Roman"/>
          <w:b/>
          <w:sz w:val="24"/>
          <w:szCs w:val="24"/>
          <w:lang w:val="uk-UA" w:eastAsia="ru-RU"/>
        </w:rPr>
        <w:t>5.3 Протипоказання</w:t>
      </w:r>
    </w:p>
    <w:p w:rsidR="001A398C" w:rsidRPr="00311CBC" w:rsidRDefault="001A398C" w:rsidP="001A39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311CBC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Не використовувати тваринам з підвищеною чутливістю до </w:t>
      </w:r>
      <w:proofErr w:type="spellStart"/>
      <w:r w:rsidRPr="00311CBC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диклофенаку</w:t>
      </w:r>
      <w:proofErr w:type="spellEnd"/>
      <w:r w:rsidRPr="00311CBC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та інших НПЗП.</w:t>
      </w:r>
    </w:p>
    <w:p w:rsidR="001A398C" w:rsidRPr="00311CBC" w:rsidRDefault="001A398C" w:rsidP="001A39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311CBC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Не застосовувати за наявності виразок рогівки або ран, оскільки це може уповільнювати загоєння. </w:t>
      </w:r>
    </w:p>
    <w:p w:rsidR="001A398C" w:rsidRPr="00311CBC" w:rsidRDefault="001A398C" w:rsidP="001A39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311CBC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Не використовувати при </w:t>
      </w:r>
      <w:proofErr w:type="spellStart"/>
      <w:r w:rsidRPr="00311CBC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гемофтальмі</w:t>
      </w:r>
      <w:proofErr w:type="spellEnd"/>
      <w:r w:rsidRPr="00311CBC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та системних порушеннях згортання крові.</w:t>
      </w:r>
    </w:p>
    <w:p w:rsidR="001A398C" w:rsidRPr="001042D8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042D8">
        <w:rPr>
          <w:rFonts w:ascii="Times New Roman" w:hAnsi="Times New Roman"/>
          <w:b/>
          <w:sz w:val="24"/>
          <w:szCs w:val="24"/>
          <w:lang w:val="uk-UA" w:eastAsia="ru-RU"/>
        </w:rPr>
        <w:t>5.4 Побічна дія</w:t>
      </w:r>
    </w:p>
    <w:p w:rsidR="001A398C" w:rsidRPr="00311CBC" w:rsidRDefault="001A398C" w:rsidP="001A39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311CBC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Найчастіші побічні реакції — легке подразнення очей, іноді — підвищена світлочутливість. У разі виникнення алергічних реакцій чи крововиливів в око лікування слід припинити і звернутися до лікаря ветеринарної медицини.</w:t>
      </w:r>
    </w:p>
    <w:p w:rsidR="001A398C" w:rsidRPr="001042D8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042D8">
        <w:rPr>
          <w:rFonts w:ascii="Times New Roman" w:hAnsi="Times New Roman"/>
          <w:b/>
          <w:sz w:val="24"/>
          <w:szCs w:val="24"/>
          <w:lang w:val="uk-UA" w:eastAsia="ru-RU"/>
        </w:rPr>
        <w:t>5.5 Особливі застереження при використанні</w:t>
      </w:r>
    </w:p>
    <w:p w:rsidR="001A398C" w:rsidRPr="00311CBC" w:rsidRDefault="001A398C" w:rsidP="001A39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311CBC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Не застосовувати одночасно з іншими очними краплями. За необхідності паралельного використання інші краплі закапувати з інтервалом щонайменше 15 хвилин. Обережно застосовувати при схильності до кровотеч, виразковій хворобі шлунку, астмі (консерванти можуть спровокувати напад).</w:t>
      </w:r>
    </w:p>
    <w:p w:rsidR="001A398C" w:rsidRPr="001042D8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042D8">
        <w:rPr>
          <w:rFonts w:ascii="Times New Roman" w:hAnsi="Times New Roman"/>
          <w:b/>
          <w:sz w:val="24"/>
          <w:szCs w:val="24"/>
          <w:lang w:val="uk-UA" w:eastAsia="ru-RU"/>
        </w:rPr>
        <w:t>5.6 Використання під час вагітності, лактації</w:t>
      </w:r>
    </w:p>
    <w:p w:rsidR="001A398C" w:rsidRPr="00311CBC" w:rsidRDefault="001A398C" w:rsidP="001A39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311CBC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Застосування під час вагітності та лактації можливе лише після ретельної оцінки потенційних ризиків та користі для тварини. Використовувати препарат у таких випадках слід під наглядом лікаря ветеринарної медицини.</w:t>
      </w:r>
    </w:p>
    <w:p w:rsidR="001A398C" w:rsidRPr="001042D8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042D8">
        <w:rPr>
          <w:rFonts w:ascii="Times New Roman" w:hAnsi="Times New Roman"/>
          <w:b/>
          <w:sz w:val="24"/>
          <w:szCs w:val="24"/>
          <w:lang w:val="uk-UA" w:eastAsia="ru-RU"/>
        </w:rPr>
        <w:t>5.7 Взаємодія з іншими засобами та інші форми взаємодії</w:t>
      </w:r>
    </w:p>
    <w:p w:rsidR="001A398C" w:rsidRPr="00311CBC" w:rsidRDefault="001A398C" w:rsidP="001A39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311CBC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Одночасне застосування з </w:t>
      </w:r>
      <w:proofErr w:type="spellStart"/>
      <w:r w:rsidRPr="00311CBC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протитромботичними</w:t>
      </w:r>
      <w:proofErr w:type="spellEnd"/>
      <w:r w:rsidRPr="00311CBC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препаратами (аспірином, гепарином) підвищує ризик кровотечі. Не використовувати разом з іншими НПЗП або кортикостероїдами без консультації з ветеринарним лікарем. Не застосовувати одночасно з іншими очними засобами. </w:t>
      </w:r>
    </w:p>
    <w:p w:rsidR="001A398C" w:rsidRPr="001042D8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042D8">
        <w:rPr>
          <w:rFonts w:ascii="Times New Roman" w:hAnsi="Times New Roman"/>
          <w:b/>
          <w:sz w:val="24"/>
          <w:szCs w:val="24"/>
          <w:lang w:val="uk-UA" w:eastAsia="ru-RU"/>
        </w:rPr>
        <w:t>5.8 Дози і способи введення тваринам різного віку</w:t>
      </w:r>
    </w:p>
    <w:p w:rsidR="001A398C" w:rsidRDefault="001A398C" w:rsidP="001A39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311CBC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Дозу визначають залежно від тяжкості </w:t>
      </w:r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захворювання, </w:t>
      </w:r>
      <w:r w:rsidR="00B07461"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</w:t>
      </w:r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середньому</w:t>
      </w:r>
      <w:r w:rsidRPr="00311CBC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вона становить — 1–2 краплі, 2–4 рази на добу.</w:t>
      </w:r>
    </w:p>
    <w:p w:rsidR="001A398C" w:rsidRPr="00311CBC" w:rsidRDefault="001A398C" w:rsidP="001A39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311CBC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Після хірургії катаракти — 1 крапля, 4 рази на добу, курс — 14-30 днів, починаючи через добу після операції.</w:t>
      </w:r>
    </w:p>
    <w:p w:rsidR="001A398C" w:rsidRPr="00311CBC" w:rsidRDefault="001A398C" w:rsidP="001A398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311CBC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При хронічному іридоцикліті та/або ізольованому іриті — 1 крапля, 1–2 рази на добу до повного одужання.</w:t>
      </w:r>
    </w:p>
    <w:p w:rsidR="001A398C" w:rsidRPr="001042D8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042D8">
        <w:rPr>
          <w:rFonts w:ascii="Times New Roman" w:hAnsi="Times New Roman"/>
          <w:b/>
          <w:sz w:val="24"/>
          <w:szCs w:val="24"/>
          <w:lang w:val="uk-UA" w:eastAsia="ru-RU"/>
        </w:rPr>
        <w:t>5.9 Передозування (симптоми, невідкладні заходи, антидоти)</w:t>
      </w:r>
    </w:p>
    <w:p w:rsidR="001A398C" w:rsidRPr="001042D8" w:rsidRDefault="001A398C" w:rsidP="001A398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042D8">
        <w:rPr>
          <w:rFonts w:ascii="Times New Roman" w:eastAsia="Times New Roman" w:hAnsi="Times New Roman"/>
          <w:sz w:val="24"/>
          <w:szCs w:val="24"/>
          <w:lang w:val="uk-UA" w:eastAsia="ru-RU"/>
        </w:rPr>
        <w:t>При випадковому проковтуванні можливі прояви розладів шлунково-кишкової та нервової системи; призначається симптоматичне лікування, промивання шлунку, підтримуюча терапія.</w:t>
      </w:r>
    </w:p>
    <w:p w:rsidR="001A398C" w:rsidRPr="001042D8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042D8">
        <w:rPr>
          <w:rFonts w:ascii="Times New Roman" w:hAnsi="Times New Roman"/>
          <w:b/>
          <w:sz w:val="24"/>
          <w:szCs w:val="24"/>
          <w:lang w:val="uk-UA" w:eastAsia="ru-RU"/>
        </w:rPr>
        <w:t>5.10 Спеціальні застереження</w:t>
      </w:r>
    </w:p>
    <w:p w:rsidR="001A398C" w:rsidRPr="001042D8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1042D8">
        <w:rPr>
          <w:rFonts w:ascii="Times New Roman" w:hAnsi="Times New Roman"/>
          <w:sz w:val="24"/>
          <w:szCs w:val="24"/>
          <w:lang w:val="uk-UA" w:eastAsia="ru-RU"/>
        </w:rPr>
        <w:t>Немає.</w:t>
      </w:r>
    </w:p>
    <w:p w:rsidR="001A398C" w:rsidRPr="001042D8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042D8">
        <w:rPr>
          <w:rFonts w:ascii="Times New Roman" w:hAnsi="Times New Roman"/>
          <w:b/>
          <w:sz w:val="24"/>
          <w:szCs w:val="24"/>
          <w:lang w:val="uk-UA" w:eastAsia="ru-RU"/>
        </w:rPr>
        <w:t>5.11 Період виведення (</w:t>
      </w:r>
      <w:proofErr w:type="spellStart"/>
      <w:r w:rsidRPr="001042D8">
        <w:rPr>
          <w:rFonts w:ascii="Times New Roman" w:hAnsi="Times New Roman"/>
          <w:b/>
          <w:sz w:val="24"/>
          <w:szCs w:val="24"/>
          <w:lang w:val="uk-UA" w:eastAsia="ru-RU"/>
        </w:rPr>
        <w:t>каренції</w:t>
      </w:r>
      <w:proofErr w:type="spellEnd"/>
      <w:r w:rsidRPr="001042D8">
        <w:rPr>
          <w:rFonts w:ascii="Times New Roman" w:hAnsi="Times New Roman"/>
          <w:b/>
          <w:sz w:val="24"/>
          <w:szCs w:val="24"/>
          <w:lang w:val="uk-UA" w:eastAsia="ru-RU"/>
        </w:rPr>
        <w:t>)</w:t>
      </w:r>
    </w:p>
    <w:p w:rsidR="001A398C" w:rsidRDefault="001A398C" w:rsidP="001A398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 w:rsidRPr="00311CBC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Препарат не застосовують для продуктивних тварин.</w:t>
      </w:r>
    </w:p>
    <w:p w:rsidR="001A398C" w:rsidRPr="001042D8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1042D8">
        <w:rPr>
          <w:rFonts w:ascii="Times New Roman" w:hAnsi="Times New Roman"/>
          <w:b/>
          <w:bCs/>
          <w:sz w:val="24"/>
          <w:szCs w:val="24"/>
          <w:lang w:val="uk-UA" w:eastAsia="ru-RU"/>
        </w:rPr>
        <w:t>5.12 Спеціальні застереження для осіб і обслуговуючого персоналу</w:t>
      </w:r>
    </w:p>
    <w:p w:rsidR="001A398C" w:rsidRPr="001042D8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1042D8">
        <w:rPr>
          <w:rFonts w:ascii="Times New Roman" w:hAnsi="Times New Roman"/>
          <w:bCs/>
          <w:sz w:val="24"/>
          <w:szCs w:val="24"/>
          <w:lang w:val="uk-UA" w:eastAsia="ru-RU"/>
        </w:rPr>
        <w:t>Персонал, який працює з препаратом, повинен дотримуватися основних правил гігієни та безпеки, що прийняті при роботі з ветеринарними препаратами.</w:t>
      </w:r>
      <w:r w:rsidRPr="001042D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042D8">
        <w:rPr>
          <w:rFonts w:ascii="Times New Roman" w:hAnsi="Times New Roman"/>
          <w:bCs/>
          <w:sz w:val="24"/>
          <w:szCs w:val="24"/>
          <w:lang w:val="uk-UA" w:eastAsia="ru-RU"/>
        </w:rPr>
        <w:t>Під час роботи з препаратом забороняється пити, палити, їсти. Після роботи з препаратом слід вимити руки водопровідною водою з милом.</w:t>
      </w:r>
    </w:p>
    <w:p w:rsidR="00A60CB6" w:rsidRPr="00711F2A" w:rsidRDefault="00A60CB6" w:rsidP="00A60C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  <w:lang w:val="uk-UA"/>
        </w:rPr>
      </w:pPr>
      <w:r w:rsidRPr="00711F2A">
        <w:rPr>
          <w:rFonts w:ascii="Times New Roman" w:hAnsi="Times New Roman"/>
          <w:bCs/>
          <w:sz w:val="24"/>
          <w:szCs w:val="24"/>
          <w:lang w:val="uk-UA"/>
        </w:rPr>
        <w:lastRenderedPageBreak/>
        <w:t>Продовження додатку 1</w:t>
      </w:r>
    </w:p>
    <w:p w:rsidR="00A60CB6" w:rsidRPr="00711F2A" w:rsidRDefault="00A60CB6" w:rsidP="00A60CB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  <w:lang w:val="uk-UA"/>
        </w:rPr>
      </w:pPr>
      <w:r w:rsidRPr="00711F2A">
        <w:rPr>
          <w:rFonts w:ascii="Times New Roman" w:hAnsi="Times New Roman"/>
          <w:bCs/>
          <w:sz w:val="24"/>
          <w:szCs w:val="24"/>
          <w:lang w:val="uk-UA"/>
        </w:rPr>
        <w:t xml:space="preserve">до реєстраційного посвідчення </w:t>
      </w:r>
    </w:p>
    <w:p w:rsidR="00A60CB6" w:rsidRDefault="00A60CB6" w:rsidP="00A60CB6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A60CB6" w:rsidRDefault="00A60CB6" w:rsidP="00A60CB6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1A398C" w:rsidRPr="001042D8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uk-UA" w:eastAsia="ru-RU"/>
        </w:rPr>
      </w:pPr>
      <w:r w:rsidRPr="001042D8">
        <w:rPr>
          <w:rFonts w:ascii="Times New Roman" w:hAnsi="Times New Roman"/>
          <w:bCs/>
          <w:sz w:val="24"/>
          <w:szCs w:val="24"/>
          <w:lang w:val="uk-UA" w:eastAsia="ru-RU"/>
        </w:rPr>
        <w:t xml:space="preserve">При випадковому контакті лікарського препарату зі шкірою та слизовими оболонками їх необхідно промити великою кількістю води. Людям з </w:t>
      </w:r>
      <w:proofErr w:type="spellStart"/>
      <w:r w:rsidRPr="001042D8">
        <w:rPr>
          <w:rFonts w:ascii="Times New Roman" w:hAnsi="Times New Roman"/>
          <w:bCs/>
          <w:sz w:val="24"/>
          <w:szCs w:val="24"/>
          <w:lang w:val="uk-UA" w:eastAsia="ru-RU"/>
        </w:rPr>
        <w:t>гіперчутливістю</w:t>
      </w:r>
      <w:proofErr w:type="spellEnd"/>
      <w:r w:rsidRPr="001042D8">
        <w:rPr>
          <w:rFonts w:ascii="Times New Roman" w:hAnsi="Times New Roman"/>
          <w:bCs/>
          <w:sz w:val="24"/>
          <w:szCs w:val="24"/>
          <w:lang w:val="uk-UA" w:eastAsia="ru-RU"/>
        </w:rPr>
        <w:t xml:space="preserve"> до компонентів препарату слід уникати прямого контакту з препаратом. У разі прояву алергічної реакції або при випадковому потраплянні препарату в організм людини слід негайно звернутися до медичного закладу (при собі мати інструкцію щодо застосування препарату та етикетку).</w:t>
      </w:r>
    </w:p>
    <w:p w:rsidR="001A398C" w:rsidRPr="001042D8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042D8">
        <w:rPr>
          <w:rFonts w:ascii="Times New Roman" w:hAnsi="Times New Roman"/>
          <w:b/>
          <w:sz w:val="24"/>
          <w:szCs w:val="24"/>
          <w:lang w:val="uk-UA" w:eastAsia="ru-RU"/>
        </w:rPr>
        <w:t>6. Фармацевтичні особливості</w:t>
      </w:r>
    </w:p>
    <w:p w:rsidR="00A60CB6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1042D8">
        <w:rPr>
          <w:rFonts w:ascii="Times New Roman" w:hAnsi="Times New Roman"/>
          <w:b/>
          <w:bCs/>
          <w:sz w:val="24"/>
          <w:szCs w:val="24"/>
          <w:lang w:val="uk-UA" w:eastAsia="ru-RU"/>
        </w:rPr>
        <w:t>6.1 Форми несумісності (основні)</w:t>
      </w:r>
      <w:bookmarkStart w:id="1" w:name="_GoBack"/>
      <w:bookmarkEnd w:id="1"/>
    </w:p>
    <w:p w:rsidR="001A398C" w:rsidRPr="001042D8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042D8">
        <w:rPr>
          <w:rFonts w:ascii="Times New Roman" w:hAnsi="Times New Roman"/>
          <w:sz w:val="24"/>
          <w:szCs w:val="24"/>
          <w:lang w:val="uk-UA" w:eastAsia="ru-RU"/>
        </w:rPr>
        <w:t xml:space="preserve">Не застосовувати одночасно з іншими НПЗП або кортикостероїдами без консультації </w:t>
      </w:r>
      <w:r w:rsidRPr="00311CBC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з ветеринарним лікарем. Не застосовувати одночасно з іншими очними засобами.</w:t>
      </w:r>
      <w:r w:rsidRPr="001042D8">
        <w:rPr>
          <w:rFonts w:ascii="Times New Roman" w:hAnsi="Times New Roman"/>
          <w:sz w:val="24"/>
          <w:szCs w:val="24"/>
          <w:lang w:val="uk-UA" w:eastAsia="ru-RU"/>
        </w:rPr>
        <w:t>.</w:t>
      </w:r>
      <w:r w:rsidRPr="001042D8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</w:p>
    <w:p w:rsidR="001A398C" w:rsidRPr="001042D8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042D8">
        <w:rPr>
          <w:rFonts w:ascii="Times New Roman" w:hAnsi="Times New Roman"/>
          <w:b/>
          <w:sz w:val="24"/>
          <w:szCs w:val="24"/>
          <w:lang w:val="uk-UA" w:eastAsia="ru-RU"/>
        </w:rPr>
        <w:t>6.2 Термін придатності</w:t>
      </w:r>
    </w:p>
    <w:p w:rsidR="001A398C" w:rsidRPr="001042D8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1042D8">
        <w:rPr>
          <w:rFonts w:ascii="Times New Roman" w:hAnsi="Times New Roman"/>
          <w:sz w:val="24"/>
          <w:szCs w:val="24"/>
          <w:lang w:val="uk-UA" w:eastAsia="ru-RU"/>
        </w:rPr>
        <w:t>2 роки.</w:t>
      </w:r>
    </w:p>
    <w:p w:rsidR="001A398C" w:rsidRPr="001042D8" w:rsidRDefault="001A398C" w:rsidP="001A398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042D8">
        <w:rPr>
          <w:rFonts w:ascii="Times New Roman" w:eastAsia="Times New Roman" w:hAnsi="Times New Roman"/>
          <w:sz w:val="24"/>
          <w:szCs w:val="24"/>
          <w:lang w:val="uk-UA" w:eastAsia="ru-RU"/>
        </w:rPr>
        <w:t>Після першого відбору препарат слід зберігати за температури від 4 до 8 °С та використати впродовж 28 діб.</w:t>
      </w:r>
    </w:p>
    <w:p w:rsidR="001A398C" w:rsidRPr="001042D8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1042D8">
        <w:rPr>
          <w:rFonts w:ascii="Times New Roman" w:hAnsi="Times New Roman"/>
          <w:b/>
          <w:sz w:val="24"/>
          <w:szCs w:val="24"/>
          <w:lang w:val="uk-UA" w:eastAsia="ru-RU"/>
        </w:rPr>
        <w:t>6.3 Особливі заходи зберігання</w:t>
      </w:r>
    </w:p>
    <w:p w:rsidR="001A398C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1042D8">
        <w:rPr>
          <w:rFonts w:ascii="Times New Roman" w:hAnsi="Times New Roman"/>
          <w:sz w:val="24"/>
          <w:szCs w:val="24"/>
          <w:lang w:val="uk-UA" w:eastAsia="ru-RU"/>
        </w:rPr>
        <w:t xml:space="preserve">Сухе темне, недоступне для дітей місце за температури від </w:t>
      </w:r>
      <w:r w:rsidRPr="00311CBC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15 до 25 °C</w:t>
      </w:r>
      <w:r w:rsidRPr="001042D8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213D71" w:rsidRPr="00CC3AF8" w:rsidRDefault="00213D71" w:rsidP="001A398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CC3AF8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Не заморожувати!</w:t>
      </w:r>
    </w:p>
    <w:p w:rsidR="001A398C" w:rsidRPr="00CC3AF8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CC3AF8">
        <w:rPr>
          <w:rFonts w:ascii="Times New Roman" w:hAnsi="Times New Roman"/>
          <w:b/>
          <w:sz w:val="24"/>
          <w:szCs w:val="24"/>
          <w:lang w:val="uk-UA" w:eastAsia="ru-RU"/>
        </w:rPr>
        <w:t>6.4 Природа і склад контейнера первинного упакування</w:t>
      </w:r>
    </w:p>
    <w:p w:rsidR="001A398C" w:rsidRPr="00CC3AF8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C3AF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Скляні флакони з гумовими корками під алюмінієву обкатку по 5, 10 мл </w:t>
      </w:r>
      <w:r w:rsidRPr="00CC3AF8">
        <w:rPr>
          <w:rFonts w:ascii="Times New Roman" w:eastAsia="Times New Roman" w:hAnsi="Times New Roman"/>
          <w:snapToGrid w:val="0"/>
          <w:sz w:val="24"/>
          <w:szCs w:val="24"/>
          <w:lang w:val="uk-UA"/>
        </w:rPr>
        <w:t>в індивідуальній картонній коробці.</w:t>
      </w:r>
    </w:p>
    <w:p w:rsidR="001A398C" w:rsidRPr="00CC3AF8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CC3AF8">
        <w:rPr>
          <w:rFonts w:ascii="Times New Roman" w:hAnsi="Times New Roman"/>
          <w:b/>
          <w:sz w:val="24"/>
          <w:szCs w:val="24"/>
          <w:lang w:val="uk-UA" w:eastAsia="ru-RU"/>
        </w:rPr>
        <w:t>6.5 Особливі заходи безпеки при поводженні з невикористаним препаратом або із його залишками</w:t>
      </w:r>
    </w:p>
    <w:p w:rsidR="001A398C" w:rsidRPr="00CC3AF8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CC3AF8">
        <w:rPr>
          <w:rFonts w:ascii="Times New Roman" w:hAnsi="Times New Roman"/>
          <w:sz w:val="24"/>
          <w:szCs w:val="24"/>
          <w:lang w:val="uk-UA" w:eastAsia="ru-RU"/>
        </w:rPr>
        <w:t>Невикористаний препарат, в якого закінчився термін придатності, утилізують відповідно до вимог чинного законодавства.</w:t>
      </w:r>
    </w:p>
    <w:p w:rsidR="001A398C" w:rsidRPr="00CC3AF8" w:rsidRDefault="001A398C" w:rsidP="001A39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CC3AF8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7. Назва та місцезнаходження власника реєстраційного посвідчення</w:t>
      </w:r>
    </w:p>
    <w:p w:rsidR="001A398C" w:rsidRPr="00CC3AF8" w:rsidRDefault="001A398C" w:rsidP="001A398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/>
        </w:rPr>
      </w:pPr>
      <w:r w:rsidRPr="00CC3AF8">
        <w:rPr>
          <w:rFonts w:ascii="Times New Roman" w:eastAsia="Times New Roman" w:hAnsi="Times New Roman"/>
          <w:sz w:val="24"/>
          <w:szCs w:val="24"/>
          <w:lang w:val="uk-UA"/>
        </w:rPr>
        <w:t>ТОВ "БРОВАФАРМА"</w:t>
      </w:r>
    </w:p>
    <w:p w:rsidR="001A398C" w:rsidRPr="00CC3AF8" w:rsidRDefault="001A398C" w:rsidP="001A398C">
      <w:pPr>
        <w:spacing w:after="0" w:line="240" w:lineRule="auto"/>
        <w:ind w:right="-106"/>
        <w:rPr>
          <w:rFonts w:ascii="Times New Roman" w:eastAsia="Times New Roman" w:hAnsi="Times New Roman"/>
          <w:sz w:val="24"/>
          <w:szCs w:val="24"/>
          <w:lang w:val="uk-UA"/>
        </w:rPr>
      </w:pPr>
      <w:r w:rsidRPr="00CC3AF8">
        <w:rPr>
          <w:rFonts w:ascii="Times New Roman" w:eastAsia="Times New Roman" w:hAnsi="Times New Roman"/>
          <w:sz w:val="24"/>
          <w:szCs w:val="24"/>
          <w:lang w:val="uk-UA"/>
        </w:rPr>
        <w:t>б–р Незалежності</w:t>
      </w:r>
      <w:r w:rsidR="00B07461" w:rsidRPr="00CC3AF8">
        <w:rPr>
          <w:rFonts w:ascii="Times New Roman" w:eastAsia="Times New Roman" w:hAnsi="Times New Roman"/>
          <w:sz w:val="24"/>
          <w:szCs w:val="24"/>
          <w:lang w:val="uk-UA"/>
        </w:rPr>
        <w:t>,</w:t>
      </w:r>
      <w:r w:rsidRPr="00CC3AF8">
        <w:rPr>
          <w:rFonts w:ascii="Times New Roman" w:eastAsia="Times New Roman" w:hAnsi="Times New Roman"/>
          <w:sz w:val="24"/>
          <w:szCs w:val="24"/>
          <w:lang w:val="uk-UA"/>
        </w:rPr>
        <w:t xml:space="preserve"> 18-а, м. Бровари, Київська обл., 07400, </w:t>
      </w:r>
      <w:r w:rsidR="00D63355" w:rsidRPr="00CC3AF8">
        <w:rPr>
          <w:rFonts w:ascii="Times New Roman" w:eastAsia="Times New Roman" w:hAnsi="Times New Roman"/>
          <w:sz w:val="24"/>
          <w:szCs w:val="24"/>
          <w:lang w:val="uk-UA"/>
        </w:rPr>
        <w:t>Україна.</w:t>
      </w:r>
    </w:p>
    <w:p w:rsidR="001A398C" w:rsidRPr="00CC3AF8" w:rsidRDefault="001A398C" w:rsidP="001A398C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CC3AF8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8. Назва та місцезнаходження виробника (виробників)</w:t>
      </w:r>
    </w:p>
    <w:p w:rsidR="001A398C" w:rsidRPr="00CC3AF8" w:rsidRDefault="001A398C" w:rsidP="001A398C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val="uk-UA"/>
        </w:rPr>
      </w:pPr>
      <w:r w:rsidRPr="00CC3AF8">
        <w:rPr>
          <w:rFonts w:ascii="Times New Roman" w:eastAsia="Times New Roman" w:hAnsi="Times New Roman"/>
          <w:sz w:val="24"/>
          <w:szCs w:val="24"/>
          <w:lang w:val="uk-UA"/>
        </w:rPr>
        <w:t>ТОВ "БРОВАФАРМА"</w:t>
      </w:r>
    </w:p>
    <w:p w:rsidR="001A398C" w:rsidRPr="00CC3AF8" w:rsidRDefault="001A398C" w:rsidP="001A398C">
      <w:pPr>
        <w:spacing w:after="0" w:line="240" w:lineRule="auto"/>
        <w:ind w:right="-106" w:firstLine="567"/>
        <w:rPr>
          <w:rFonts w:ascii="Times New Roman" w:eastAsia="Times New Roman" w:hAnsi="Times New Roman"/>
          <w:sz w:val="24"/>
          <w:szCs w:val="24"/>
          <w:lang w:val="uk-UA"/>
        </w:rPr>
      </w:pPr>
      <w:r w:rsidRPr="00CC3AF8">
        <w:rPr>
          <w:rFonts w:ascii="Times New Roman" w:eastAsia="Times New Roman" w:hAnsi="Times New Roman"/>
          <w:sz w:val="24"/>
          <w:szCs w:val="24"/>
          <w:lang w:val="uk-UA"/>
        </w:rPr>
        <w:t>б–р Незалежності</w:t>
      </w:r>
      <w:r w:rsidR="00B07461" w:rsidRPr="00CC3AF8">
        <w:rPr>
          <w:rFonts w:ascii="Times New Roman" w:eastAsia="Times New Roman" w:hAnsi="Times New Roman"/>
          <w:sz w:val="24"/>
          <w:szCs w:val="24"/>
          <w:lang w:val="uk-UA"/>
        </w:rPr>
        <w:t>,</w:t>
      </w:r>
      <w:r w:rsidRPr="00CC3AF8">
        <w:rPr>
          <w:rFonts w:ascii="Times New Roman" w:eastAsia="Times New Roman" w:hAnsi="Times New Roman"/>
          <w:sz w:val="24"/>
          <w:szCs w:val="24"/>
          <w:lang w:val="uk-UA"/>
        </w:rPr>
        <w:t xml:space="preserve"> 18-а, м. Бровари, Київська обл., 07400, </w:t>
      </w:r>
      <w:r w:rsidR="00D63355" w:rsidRPr="00CC3AF8">
        <w:rPr>
          <w:rFonts w:ascii="Times New Roman" w:eastAsia="Times New Roman" w:hAnsi="Times New Roman"/>
          <w:sz w:val="24"/>
          <w:szCs w:val="24"/>
          <w:lang w:val="uk-UA"/>
        </w:rPr>
        <w:t>Україна.</w:t>
      </w:r>
    </w:p>
    <w:p w:rsidR="001A398C" w:rsidRPr="001042D8" w:rsidRDefault="001A398C" w:rsidP="001A398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CC3AF8">
        <w:rPr>
          <w:rFonts w:ascii="Times New Roman" w:hAnsi="Times New Roman"/>
          <w:b/>
          <w:sz w:val="24"/>
          <w:szCs w:val="24"/>
          <w:lang w:val="uk-UA" w:eastAsia="ru-RU"/>
        </w:rPr>
        <w:t>9. Додаткова інформація</w:t>
      </w:r>
    </w:p>
    <w:p w:rsidR="00472B26" w:rsidRDefault="00472B26"/>
    <w:sectPr w:rsidR="00472B26" w:rsidSect="00067317">
      <w:footerReference w:type="default" r:id="rId8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B26" w:rsidRDefault="00472B26" w:rsidP="00B07461">
      <w:pPr>
        <w:spacing w:after="0" w:line="240" w:lineRule="auto"/>
      </w:pPr>
      <w:r>
        <w:separator/>
      </w:r>
    </w:p>
  </w:endnote>
  <w:endnote w:type="continuationSeparator" w:id="0">
    <w:p w:rsidR="00472B26" w:rsidRDefault="00472B26" w:rsidP="00B07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699047"/>
      <w:docPartObj>
        <w:docPartGallery w:val="Page Numbers (Bottom of Page)"/>
        <w:docPartUnique/>
      </w:docPartObj>
    </w:sdtPr>
    <w:sdtEndPr/>
    <w:sdtContent>
      <w:p w:rsidR="00472B26" w:rsidRDefault="00472B2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CB6">
          <w:rPr>
            <w:noProof/>
          </w:rPr>
          <w:t>3</w:t>
        </w:r>
        <w:r>
          <w:fldChar w:fldCharType="end"/>
        </w:r>
      </w:p>
    </w:sdtContent>
  </w:sdt>
  <w:p w:rsidR="00472B26" w:rsidRDefault="00472B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B26" w:rsidRDefault="00472B26" w:rsidP="00B07461">
      <w:pPr>
        <w:spacing w:after="0" w:line="240" w:lineRule="auto"/>
      </w:pPr>
      <w:r>
        <w:separator/>
      </w:r>
    </w:p>
  </w:footnote>
  <w:footnote w:type="continuationSeparator" w:id="0">
    <w:p w:rsidR="00472B26" w:rsidRDefault="00472B26" w:rsidP="00B074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125"/>
    <w:rsid w:val="00067317"/>
    <w:rsid w:val="000867E9"/>
    <w:rsid w:val="001A398C"/>
    <w:rsid w:val="00213D71"/>
    <w:rsid w:val="00472B26"/>
    <w:rsid w:val="00547431"/>
    <w:rsid w:val="00853812"/>
    <w:rsid w:val="00A60CB6"/>
    <w:rsid w:val="00B07461"/>
    <w:rsid w:val="00B33F97"/>
    <w:rsid w:val="00CC3AF8"/>
    <w:rsid w:val="00CC6125"/>
    <w:rsid w:val="00CE290A"/>
    <w:rsid w:val="00D63355"/>
    <w:rsid w:val="00E1545D"/>
    <w:rsid w:val="00E3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9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7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746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07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7461"/>
    <w:rPr>
      <w:rFonts w:ascii="Calibri" w:eastAsia="Calibri" w:hAnsi="Calibri" w:cs="Times New Roman"/>
    </w:rPr>
  </w:style>
  <w:style w:type="character" w:styleId="a7">
    <w:name w:val="annotation reference"/>
    <w:basedOn w:val="a0"/>
    <w:uiPriority w:val="99"/>
    <w:semiHidden/>
    <w:unhideWhenUsed/>
    <w:rsid w:val="0054743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4743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47431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4743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47431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547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4743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9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7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746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07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7461"/>
    <w:rPr>
      <w:rFonts w:ascii="Calibri" w:eastAsia="Calibri" w:hAnsi="Calibri" w:cs="Times New Roman"/>
    </w:rPr>
  </w:style>
  <w:style w:type="character" w:styleId="a7">
    <w:name w:val="annotation reference"/>
    <w:basedOn w:val="a0"/>
    <w:uiPriority w:val="99"/>
    <w:semiHidden/>
    <w:unhideWhenUsed/>
    <w:rsid w:val="0054743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4743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47431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4743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47431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547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4743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F201F-9B42-417D-81F6-78137911A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Распутний</dc:creator>
  <cp:keywords/>
  <dc:description/>
  <cp:lastModifiedBy>Inna_Pavluk</cp:lastModifiedBy>
  <cp:revision>13</cp:revision>
  <dcterms:created xsi:type="dcterms:W3CDTF">2025-07-03T09:37:00Z</dcterms:created>
  <dcterms:modified xsi:type="dcterms:W3CDTF">2025-12-12T09:07:00Z</dcterms:modified>
</cp:coreProperties>
</file>